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24" w:rsidRDefault="009B3324"/>
    <w:p w:rsidR="009B3324" w:rsidRDefault="009B3324"/>
    <w:p w:rsidR="009B3324" w:rsidRDefault="009B3324"/>
    <w:p w:rsidR="00A93E36" w:rsidRDefault="009B3324">
      <w:pPr>
        <w:rPr>
          <w:sz w:val="48"/>
          <w:szCs w:val="48"/>
        </w:rPr>
      </w:pPr>
      <w:r w:rsidRPr="009B3324">
        <w:rPr>
          <w:sz w:val="48"/>
          <w:szCs w:val="48"/>
        </w:rPr>
        <w:t xml:space="preserve">End of year attainment for end of year Key Stage 2 data </w:t>
      </w:r>
    </w:p>
    <w:p w:rsidR="009B3324" w:rsidRDefault="009B3324">
      <w:pPr>
        <w:rPr>
          <w:sz w:val="48"/>
          <w:szCs w:val="48"/>
        </w:rPr>
      </w:pPr>
    </w:p>
    <w:tbl>
      <w:tblPr>
        <w:tblStyle w:val="TableGrid"/>
        <w:tblW w:w="11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17"/>
        <w:gridCol w:w="990"/>
        <w:gridCol w:w="990"/>
        <w:gridCol w:w="991"/>
        <w:gridCol w:w="990"/>
        <w:gridCol w:w="991"/>
        <w:gridCol w:w="990"/>
        <w:gridCol w:w="990"/>
        <w:gridCol w:w="991"/>
        <w:gridCol w:w="990"/>
        <w:gridCol w:w="991"/>
      </w:tblGrid>
      <w:tr w:rsidR="00142CA7" w:rsidRPr="00142CA7" w:rsidTr="008E1138">
        <w:trPr>
          <w:trHeight w:val="166"/>
        </w:trPr>
        <w:tc>
          <w:tcPr>
            <w:tcW w:w="1117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bookmarkStart w:id="0" w:name="_Hlk171427170"/>
          </w:p>
        </w:tc>
        <w:tc>
          <w:tcPr>
            <w:tcW w:w="990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t>GPS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>N 22/23</w:t>
            </w:r>
          </w:p>
        </w:tc>
        <w:tc>
          <w:tcPr>
            <w:tcW w:w="991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t>Reading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>N22/23</w:t>
            </w:r>
          </w:p>
        </w:tc>
        <w:tc>
          <w:tcPr>
            <w:tcW w:w="991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t xml:space="preserve">Maths  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>N</w:t>
            </w:r>
          </w:p>
          <w:p w:rsidR="00142CA7" w:rsidRPr="00142CA7" w:rsidRDefault="00142CA7" w:rsidP="00142CA7">
            <w:r w:rsidRPr="00142CA7">
              <w:t>22/23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 xml:space="preserve">Writing </w:t>
            </w:r>
          </w:p>
        </w:tc>
        <w:tc>
          <w:tcPr>
            <w:tcW w:w="991" w:type="dxa"/>
          </w:tcPr>
          <w:p w:rsidR="00142CA7" w:rsidRPr="00142CA7" w:rsidRDefault="00142CA7" w:rsidP="00142CA7">
            <w:r w:rsidRPr="00142CA7">
              <w:t>National 22/23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 xml:space="preserve">Combined </w:t>
            </w:r>
          </w:p>
        </w:tc>
        <w:tc>
          <w:tcPr>
            <w:tcW w:w="991" w:type="dxa"/>
          </w:tcPr>
          <w:p w:rsidR="00142CA7" w:rsidRPr="00142CA7" w:rsidRDefault="00142CA7" w:rsidP="00142CA7">
            <w:r w:rsidRPr="00142CA7">
              <w:t>N</w:t>
            </w:r>
          </w:p>
          <w:p w:rsidR="00142CA7" w:rsidRPr="00142CA7" w:rsidRDefault="00142CA7" w:rsidP="00142CA7">
            <w:r w:rsidRPr="00142CA7">
              <w:t>22/23</w:t>
            </w:r>
          </w:p>
        </w:tc>
      </w:tr>
      <w:tr w:rsidR="00142CA7" w:rsidRPr="00142CA7" w:rsidTr="008E1138">
        <w:trPr>
          <w:trHeight w:val="162"/>
        </w:trPr>
        <w:tc>
          <w:tcPr>
            <w:tcW w:w="1117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rPr>
                <w:b/>
                <w:u w:val="single"/>
              </w:rPr>
              <w:t>Expected standard</w:t>
            </w:r>
          </w:p>
        </w:tc>
        <w:tc>
          <w:tcPr>
            <w:tcW w:w="990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t xml:space="preserve">71%         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>72%</w:t>
            </w:r>
          </w:p>
        </w:tc>
        <w:tc>
          <w:tcPr>
            <w:tcW w:w="991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t xml:space="preserve">79%           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>73%</w:t>
            </w:r>
          </w:p>
        </w:tc>
        <w:tc>
          <w:tcPr>
            <w:tcW w:w="991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t>71%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>73%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 xml:space="preserve">79% </w:t>
            </w:r>
          </w:p>
        </w:tc>
        <w:tc>
          <w:tcPr>
            <w:tcW w:w="991" w:type="dxa"/>
          </w:tcPr>
          <w:p w:rsidR="00142CA7" w:rsidRPr="00142CA7" w:rsidRDefault="00142CA7" w:rsidP="00142CA7">
            <w:r w:rsidRPr="00142CA7">
              <w:t>71%</w:t>
            </w:r>
          </w:p>
        </w:tc>
        <w:tc>
          <w:tcPr>
            <w:tcW w:w="990" w:type="dxa"/>
          </w:tcPr>
          <w:p w:rsidR="00142CA7" w:rsidRPr="00142CA7" w:rsidRDefault="00142CA7" w:rsidP="00142CA7">
            <w:r w:rsidRPr="00142CA7">
              <w:t>57%</w:t>
            </w:r>
          </w:p>
        </w:tc>
        <w:tc>
          <w:tcPr>
            <w:tcW w:w="991" w:type="dxa"/>
          </w:tcPr>
          <w:p w:rsidR="00142CA7" w:rsidRPr="00142CA7" w:rsidRDefault="00142CA7" w:rsidP="00142CA7">
            <w:r w:rsidRPr="00142CA7">
              <w:t>59%</w:t>
            </w:r>
          </w:p>
        </w:tc>
      </w:tr>
      <w:tr w:rsidR="00142CA7" w:rsidRPr="00142CA7" w:rsidTr="008E1138">
        <w:trPr>
          <w:trHeight w:val="248"/>
        </w:trPr>
        <w:tc>
          <w:tcPr>
            <w:tcW w:w="1117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rPr>
                <w:b/>
                <w:u w:val="single"/>
              </w:rPr>
              <w:t xml:space="preserve">Greater depth standard </w:t>
            </w:r>
          </w:p>
        </w:tc>
        <w:tc>
          <w:tcPr>
            <w:tcW w:w="990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t xml:space="preserve">29%            </w:t>
            </w:r>
          </w:p>
        </w:tc>
        <w:tc>
          <w:tcPr>
            <w:tcW w:w="990" w:type="dxa"/>
            <w:shd w:val="clear" w:color="auto" w:fill="000000" w:themeFill="text1"/>
          </w:tcPr>
          <w:p w:rsidR="00142CA7" w:rsidRPr="00142CA7" w:rsidRDefault="00142CA7" w:rsidP="00142CA7"/>
        </w:tc>
        <w:tc>
          <w:tcPr>
            <w:tcW w:w="991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t xml:space="preserve">36%                </w:t>
            </w:r>
          </w:p>
        </w:tc>
        <w:tc>
          <w:tcPr>
            <w:tcW w:w="990" w:type="dxa"/>
            <w:shd w:val="clear" w:color="auto" w:fill="000000" w:themeFill="text1"/>
          </w:tcPr>
          <w:p w:rsidR="00142CA7" w:rsidRPr="00142CA7" w:rsidRDefault="00142CA7" w:rsidP="00142CA7"/>
        </w:tc>
        <w:tc>
          <w:tcPr>
            <w:tcW w:w="991" w:type="dxa"/>
          </w:tcPr>
          <w:p w:rsidR="00142CA7" w:rsidRPr="00142CA7" w:rsidRDefault="00142CA7" w:rsidP="00142CA7">
            <w:pPr>
              <w:rPr>
                <w:b/>
                <w:u w:val="single"/>
              </w:rPr>
            </w:pPr>
            <w:r w:rsidRPr="00142CA7">
              <w:t>14%</w:t>
            </w:r>
          </w:p>
        </w:tc>
        <w:tc>
          <w:tcPr>
            <w:tcW w:w="990" w:type="dxa"/>
            <w:shd w:val="clear" w:color="auto" w:fill="000000" w:themeFill="text1"/>
          </w:tcPr>
          <w:p w:rsidR="00142CA7" w:rsidRPr="00142CA7" w:rsidRDefault="00142CA7" w:rsidP="00142CA7"/>
        </w:tc>
        <w:tc>
          <w:tcPr>
            <w:tcW w:w="990" w:type="dxa"/>
          </w:tcPr>
          <w:p w:rsidR="00142CA7" w:rsidRPr="00142CA7" w:rsidRDefault="00142CA7" w:rsidP="00142CA7">
            <w:r w:rsidRPr="00142CA7">
              <w:t>7%</w:t>
            </w:r>
          </w:p>
        </w:tc>
        <w:tc>
          <w:tcPr>
            <w:tcW w:w="991" w:type="dxa"/>
            <w:shd w:val="clear" w:color="auto" w:fill="000000" w:themeFill="text1"/>
          </w:tcPr>
          <w:p w:rsidR="00142CA7" w:rsidRPr="00142CA7" w:rsidRDefault="00142CA7" w:rsidP="00142CA7"/>
        </w:tc>
        <w:tc>
          <w:tcPr>
            <w:tcW w:w="990" w:type="dxa"/>
            <w:shd w:val="clear" w:color="auto" w:fill="000000" w:themeFill="text1"/>
          </w:tcPr>
          <w:p w:rsidR="00142CA7" w:rsidRPr="00142CA7" w:rsidRDefault="00142CA7" w:rsidP="00142CA7"/>
        </w:tc>
        <w:tc>
          <w:tcPr>
            <w:tcW w:w="991" w:type="dxa"/>
            <w:shd w:val="clear" w:color="auto" w:fill="000000" w:themeFill="text1"/>
          </w:tcPr>
          <w:p w:rsidR="00142CA7" w:rsidRPr="00142CA7" w:rsidRDefault="00142CA7" w:rsidP="00142CA7"/>
        </w:tc>
      </w:tr>
      <w:bookmarkEnd w:id="0"/>
    </w:tbl>
    <w:p w:rsidR="009B3324" w:rsidRDefault="009B3324">
      <w:pPr>
        <w:rPr>
          <w:sz w:val="48"/>
          <w:szCs w:val="48"/>
        </w:rPr>
      </w:pPr>
    </w:p>
    <w:p w:rsidR="00142CA7" w:rsidRDefault="00142CA7">
      <w:pPr>
        <w:rPr>
          <w:sz w:val="48"/>
          <w:szCs w:val="48"/>
        </w:rPr>
      </w:pPr>
    </w:p>
    <w:p w:rsidR="00142CA7" w:rsidRPr="009B3324" w:rsidRDefault="00142CA7">
      <w:pPr>
        <w:rPr>
          <w:sz w:val="48"/>
          <w:szCs w:val="48"/>
        </w:rPr>
      </w:pPr>
      <w:bookmarkStart w:id="1" w:name="_GoBack"/>
      <w:bookmarkEnd w:id="1"/>
    </w:p>
    <w:sectPr w:rsidR="00142CA7" w:rsidRPr="009B3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24"/>
    <w:rsid w:val="00142CA7"/>
    <w:rsid w:val="009B3324"/>
    <w:rsid w:val="00C6420E"/>
    <w:rsid w:val="00C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CA00"/>
  <w15:chartTrackingRefBased/>
  <w15:docId w15:val="{7C0C36B7-EDEB-4821-90AC-E73C1E0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CA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Scott</dc:creator>
  <cp:keywords/>
  <dc:description/>
  <cp:lastModifiedBy>Georgina Scott</cp:lastModifiedBy>
  <cp:revision>2</cp:revision>
  <dcterms:created xsi:type="dcterms:W3CDTF">2024-09-23T15:15:00Z</dcterms:created>
  <dcterms:modified xsi:type="dcterms:W3CDTF">2024-09-23T15:15:00Z</dcterms:modified>
</cp:coreProperties>
</file>